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48" w:rsidRPr="005531A4" w:rsidRDefault="00F01B48" w:rsidP="00F01B48">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16. Thủ tục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rsidR="00F01B48" w:rsidRPr="005531A4" w:rsidRDefault="00F01B48" w:rsidP="00F01B48">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1. Trình tự thực hiện</w:t>
      </w:r>
    </w:p>
    <w:p w:rsidR="00F01B48" w:rsidRPr="005531A4" w:rsidRDefault="00F01B48" w:rsidP="00F01B48">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nộp hồ sơ tại Văn phòng đăng ký đất đai hoặc Văn phòng đăng ký đất đai chi nhánh tại cấp huyện, thông qua “Bộ phận tiếp nhận và trả kết quả”.</w:t>
      </w:r>
    </w:p>
    <w:p w:rsidR="00F01B48" w:rsidRPr="005531A4" w:rsidRDefault="00F01B48" w:rsidP="00F01B48">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Trường hợp thực hiện quyền của người sử dụng đất đối với một phần thửa đất thì người sử dụng đất đề nghị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thực hiện đo đạc tách thửa đối với phần diện tích cần thực hiện quyền của người sử dụng đất trước khi nộp hồ sơ </w:t>
      </w:r>
      <w:r w:rsidRPr="005531A4">
        <w:rPr>
          <w:rFonts w:ascii="Arial" w:hAnsi="Arial" w:cs="Arial"/>
          <w:sz w:val="20"/>
          <w:szCs w:val="20"/>
          <w:lang w:val="vi-VN"/>
        </w:rPr>
        <w:t xml:space="preserve">thực hiện quyền </w:t>
      </w:r>
      <w:r w:rsidRPr="005531A4">
        <w:rPr>
          <w:rFonts w:ascii="Arial" w:hAnsi="Arial" w:cs="Arial"/>
          <w:bCs/>
          <w:sz w:val="20"/>
          <w:szCs w:val="20"/>
          <w:lang w:val="vi-VN"/>
        </w:rPr>
        <w:t xml:space="preserve">của người </w:t>
      </w:r>
      <w:r w:rsidRPr="005531A4">
        <w:rPr>
          <w:rFonts w:ascii="Arial" w:hAnsi="Arial" w:cs="Arial"/>
          <w:sz w:val="20"/>
          <w:szCs w:val="20"/>
          <w:lang w:val="vi-VN"/>
        </w:rPr>
        <w:t>sử dụng đất</w:t>
      </w:r>
      <w:r w:rsidRPr="005531A4">
        <w:rPr>
          <w:rFonts w:ascii="Arial" w:hAnsi="Arial" w:cs="Arial"/>
          <w:bCs/>
          <w:sz w:val="20"/>
          <w:szCs w:val="20"/>
          <w:lang w:val="vi-VN"/>
        </w:rPr>
        <w:t>.</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F01B48" w:rsidRPr="005531A4" w:rsidRDefault="00F01B48" w:rsidP="00F01B48">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 chuyển hồ sơ cho Văn phòng Đăng ký đất đai trong ngày tiếp nhận hồ sơ.</w:t>
      </w:r>
    </w:p>
    <w:p w:rsidR="00F01B48" w:rsidRPr="005531A4" w:rsidRDefault="00F01B48" w:rsidP="00F01B48">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c) </w:t>
      </w:r>
      <w:r w:rsidRPr="005531A4">
        <w:rPr>
          <w:rFonts w:ascii="Arial" w:hAnsi="Arial" w:cs="Arial"/>
          <w:spacing w:val="-6"/>
          <w:sz w:val="20"/>
          <w:szCs w:val="20"/>
          <w:lang w:val="vi-VN"/>
        </w:rPr>
        <w:t>Văn phòng đăng ký đất đai</w:t>
      </w:r>
      <w:r w:rsidRPr="005531A4">
        <w:rPr>
          <w:rFonts w:ascii="Arial" w:hAnsi="Arial" w:cs="Arial"/>
          <w:bCs/>
          <w:spacing w:val="-6"/>
          <w:sz w:val="20"/>
          <w:szCs w:val="20"/>
          <w:lang w:val="vi-VN"/>
        </w:rPr>
        <w:t xml:space="preserve"> </w:t>
      </w:r>
      <w:r w:rsidRPr="005531A4">
        <w:rPr>
          <w:rFonts w:ascii="Arial" w:hAnsi="Arial" w:cs="Arial"/>
          <w:spacing w:val="-6"/>
          <w:sz w:val="20"/>
          <w:szCs w:val="20"/>
          <w:lang w:val="vi-VN"/>
        </w:rPr>
        <w:t>có trách nhiệm kiểm tra hồ sơ, nếu đủ điều kiện thực hiện các quyền theo quy định thì thực hiện các công việc sau đây:</w:t>
      </w:r>
    </w:p>
    <w:p w:rsidR="00F01B48" w:rsidRPr="005531A4" w:rsidRDefault="00F01B48" w:rsidP="00F01B48">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Gửi thông tin địa chính đến cơ quan thuế để xác định và thông báo thu nghĩa vụ tài chính đối với trường hợp phải thực hiện nghĩa vụ tài chính theo quy định;</w:t>
      </w:r>
    </w:p>
    <w:p w:rsidR="00F01B48" w:rsidRPr="005531A4" w:rsidRDefault="00F01B48" w:rsidP="00F01B48">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lang w:val="vi-VN"/>
        </w:rPr>
        <w:t xml:space="preserve">- Xác nhận nội dung biến động </w:t>
      </w:r>
      <w:r w:rsidRPr="005531A4">
        <w:rPr>
          <w:rFonts w:ascii="Arial" w:hAnsi="Arial" w:cs="Arial"/>
          <w:bCs/>
          <w:sz w:val="20"/>
          <w:szCs w:val="20"/>
          <w:lang w:val="vi-VN"/>
        </w:rPr>
        <w:t xml:space="preserve">vào Giấy chứng nhận </w:t>
      </w:r>
      <w:r w:rsidRPr="005531A4">
        <w:rPr>
          <w:rFonts w:ascii="Arial" w:hAnsi="Arial" w:cs="Arial"/>
          <w:sz w:val="20"/>
          <w:szCs w:val="20"/>
          <w:lang w:val="vi-VN"/>
        </w:rPr>
        <w:t>đã cấp.</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phải cấp Giấy chứng nhận thì lập hồ sơ trình cơ quan có thẩm quyền cấp Giấy chứng nhận cho người sử dụng đất.</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Chỉnh lý, cập nhật biến động vào hồ sơ địa chính, cơ sở dữ liệu đất đai.</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Chuyển kết quả thực hiện thủ tục hành chính về “Bộ phận tiếp nhận và trả kết quả” để trao Giấy chứng nhận cho người sử dụng đất hoặc gửi Ủy ban nhân dân cấp xã để trao đối với trường hợp nộp hồ sơ tại cấp xã.</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F01B48" w:rsidRPr="005531A4" w:rsidRDefault="00F01B48" w:rsidP="00F01B48">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lang w:val="vi-VN"/>
        </w:rPr>
        <w:t xml:space="preserve">d) </w:t>
      </w:r>
      <w:r w:rsidRPr="005531A4">
        <w:rPr>
          <w:rFonts w:ascii="Arial" w:hAnsi="Arial" w:cs="Arial"/>
          <w:bCs/>
          <w:sz w:val="20"/>
          <w:szCs w:val="20"/>
          <w:lang w:val="vi-VN"/>
        </w:rPr>
        <w:t>Người được cấp Giấy chứng nhận nộp lại bản chính giấy tờ theo quy định trước khi nhận Giấy chứng nhận.</w:t>
      </w:r>
    </w:p>
    <w:p w:rsidR="00F01B48" w:rsidRPr="005531A4" w:rsidRDefault="00F01B48" w:rsidP="00F01B48">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Trường hợp người sử dụng đất tặng cho quyền sử dụng đất để xây dựng công trình công cộng thì phải lập văn bản tặng cho quyền sử dụng đất theo quy định.</w:t>
      </w:r>
    </w:p>
    <w:p w:rsidR="00F01B48" w:rsidRPr="005531A4" w:rsidRDefault="00F01B48" w:rsidP="00F01B48">
      <w:pPr>
        <w:widowControl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 2. Cách thức thực hiện</w:t>
      </w:r>
    </w:p>
    <w:p w:rsidR="00F01B48" w:rsidRPr="005531A4" w:rsidRDefault="00F01B48" w:rsidP="00F01B48">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F01B48" w:rsidRPr="005531A4" w:rsidRDefault="00F01B48" w:rsidP="00F01B48">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F01B48" w:rsidRPr="005531A4" w:rsidRDefault="00F01B48" w:rsidP="00F01B48">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 Hợp đồng, văn bản về việc chuyển đổi, chuyển nhượng, cho thuê, cho thuê lại, thừa kế, tặng cho quyền sử </w:t>
      </w:r>
      <w:r w:rsidRPr="005531A4">
        <w:rPr>
          <w:rFonts w:ascii="Arial" w:hAnsi="Arial" w:cs="Arial"/>
          <w:bCs/>
          <w:sz w:val="20"/>
          <w:szCs w:val="20"/>
          <w:lang w:val="vi-VN"/>
        </w:rPr>
        <w:lastRenderedPageBreak/>
        <w:t>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F01B48" w:rsidRPr="005531A4" w:rsidRDefault="00F01B48" w:rsidP="00F01B48">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Trường hợp </w:t>
      </w:r>
      <w:r w:rsidRPr="005531A4">
        <w:rPr>
          <w:rFonts w:ascii="Arial" w:hAnsi="Arial" w:cs="Arial"/>
          <w:sz w:val="20"/>
          <w:szCs w:val="20"/>
          <w:lang w:val="vi-VN"/>
        </w:rPr>
        <w:t xml:space="preserve">người thừa kế </w:t>
      </w:r>
      <w:r w:rsidRPr="005531A4">
        <w:rPr>
          <w:rFonts w:ascii="Arial" w:hAnsi="Arial" w:cs="Arial"/>
          <w:bCs/>
          <w:sz w:val="20"/>
          <w:szCs w:val="20"/>
          <w:lang w:val="vi-VN"/>
        </w:rPr>
        <w:t>quyền sử dụng đất, quyền sở hữu tài sản gắn liền với đất</w:t>
      </w:r>
      <w:r w:rsidRPr="005531A4">
        <w:rPr>
          <w:rFonts w:ascii="Arial" w:hAnsi="Arial" w:cs="Arial"/>
          <w:sz w:val="20"/>
          <w:szCs w:val="20"/>
          <w:lang w:val="vi-VN"/>
        </w:rPr>
        <w:t xml:space="preserve"> là người duy nhất thì phải có đơn đề nghị được đăng ký thừa kế </w:t>
      </w:r>
      <w:r w:rsidRPr="005531A4">
        <w:rPr>
          <w:rFonts w:ascii="Arial" w:hAnsi="Arial" w:cs="Arial"/>
          <w:bCs/>
          <w:sz w:val="20"/>
          <w:szCs w:val="20"/>
          <w:lang w:val="vi-VN"/>
        </w:rPr>
        <w:t>quyền sử dụng đất, quyền sở hữu tài sản gắn liền với đất</w:t>
      </w:r>
      <w:r w:rsidRPr="005531A4">
        <w:rPr>
          <w:rFonts w:ascii="Arial" w:hAnsi="Arial" w:cs="Arial"/>
          <w:sz w:val="20"/>
          <w:szCs w:val="20"/>
          <w:lang w:val="vi-VN"/>
        </w:rPr>
        <w:t xml:space="preserve"> của người thừa kế;</w:t>
      </w:r>
    </w:p>
    <w:p w:rsidR="00F01B48" w:rsidRPr="005531A4" w:rsidRDefault="00F01B48" w:rsidP="00F01B48">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F01B48" w:rsidRPr="005531A4" w:rsidRDefault="00F01B48" w:rsidP="00F01B48">
      <w:pPr>
        <w:widowControl w:val="0"/>
        <w:tabs>
          <w:tab w:val="num" w:pos="567"/>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Văn bản chấp thuận của cơ quan Nhà nước có thẩm quyền đối với tổ chức kinh tế nhận chuyển nhượng, nhận góp vốn, thuê quyền sử dụng đất nông nghiệp để thực hiện dự án đầu tư;</w:t>
      </w:r>
    </w:p>
    <w:p w:rsidR="00F01B48" w:rsidRPr="005531A4" w:rsidRDefault="00F01B48" w:rsidP="00F01B48">
      <w:pPr>
        <w:widowControl w:val="0"/>
        <w:tabs>
          <w:tab w:val="num" w:pos="567"/>
        </w:tabs>
        <w:spacing w:line="320" w:lineRule="exact"/>
        <w:ind w:firstLine="540"/>
        <w:jc w:val="both"/>
        <w:rPr>
          <w:rFonts w:ascii="Arial" w:hAnsi="Arial" w:cs="Arial"/>
          <w:bCs/>
          <w:spacing w:val="-2"/>
          <w:sz w:val="20"/>
          <w:szCs w:val="20"/>
          <w:lang w:val="vi-VN"/>
        </w:rPr>
      </w:pPr>
      <w:r w:rsidRPr="005531A4">
        <w:rPr>
          <w:rFonts w:ascii="Arial" w:hAnsi="Arial" w:cs="Arial"/>
          <w:bCs/>
          <w:spacing w:val="-2"/>
          <w:sz w:val="20"/>
          <w:szCs w:val="20"/>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F01B48" w:rsidRPr="005531A4" w:rsidRDefault="00F01B48" w:rsidP="00F01B48">
      <w:pPr>
        <w:spacing w:line="320" w:lineRule="exact"/>
        <w:ind w:firstLine="540"/>
        <w:jc w:val="both"/>
        <w:rPr>
          <w:rFonts w:ascii="Arial" w:hAnsi="Arial" w:cs="Arial"/>
          <w:i/>
          <w:sz w:val="20"/>
          <w:szCs w:val="20"/>
          <w:lang w:val="vi-VN"/>
        </w:rPr>
      </w:pPr>
      <w:r w:rsidRPr="005531A4">
        <w:rPr>
          <w:rFonts w:ascii="Arial" w:hAnsi="Arial" w:cs="Arial"/>
          <w:b/>
          <w:i/>
          <w:sz w:val="20"/>
          <w:szCs w:val="20"/>
          <w:lang w:val="vi-VN"/>
        </w:rPr>
        <w:t>b) Số lượng hồ sơ</w:t>
      </w:r>
      <w:r w:rsidRPr="005531A4">
        <w:rPr>
          <w:rFonts w:ascii="Arial" w:hAnsi="Arial" w:cs="Arial"/>
          <w:i/>
          <w:sz w:val="20"/>
          <w:szCs w:val="20"/>
          <w:lang w:val="vi-VN"/>
        </w:rPr>
        <w:t>: 1 bộ</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Trong thời hạn không quá 10 ngày kể từ ngày nhận được hồ sơ hợp lệ. </w:t>
      </w:r>
    </w:p>
    <w:p w:rsidR="00F01B48" w:rsidRPr="005531A4" w:rsidRDefault="00F01B48" w:rsidP="00F01B48">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25 ngày. </w:t>
      </w:r>
    </w:p>
    <w:p w:rsidR="00F01B48" w:rsidRPr="005531A4" w:rsidRDefault="00F01B48" w:rsidP="00F01B48">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F01B48" w:rsidRPr="005531A4" w:rsidRDefault="00F01B48" w:rsidP="00F01B48">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F01B48" w:rsidRPr="005531A4" w:rsidRDefault="00F01B48" w:rsidP="00F01B48">
      <w:pPr>
        <w:spacing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Sở Tài nguyên và Môi trường đối với trường hợp cấp mới Giấy chứng nhận.</w:t>
      </w:r>
    </w:p>
    <w:p w:rsidR="00F01B48" w:rsidRPr="005531A4" w:rsidRDefault="00F01B48" w:rsidP="00F01B48">
      <w:pPr>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w:t>
      </w:r>
      <w:r w:rsidRPr="005531A4">
        <w:rPr>
          <w:rFonts w:ascii="Arial" w:hAnsi="Arial" w:cs="Arial"/>
          <w:sz w:val="20"/>
          <w:szCs w:val="20"/>
          <w:lang w:val="vi-VN"/>
        </w:rPr>
        <w:t xml:space="preserve"> Văn phòng đăng ký đất đai hoặc Chi nhánh Văn phòng đăng ký đất đai</w:t>
      </w:r>
      <w:r w:rsidRPr="005531A4">
        <w:rPr>
          <w:rFonts w:ascii="Arial" w:hAnsi="Arial" w:cs="Arial"/>
          <w:spacing w:val="-2"/>
          <w:sz w:val="20"/>
          <w:szCs w:val="20"/>
          <w:lang w:val="vi-VN"/>
        </w:rPr>
        <w:t xml:space="preserve"> đối với trường hợp xác nhận thay đổi trên Giấy chứng nhận.</w:t>
      </w:r>
    </w:p>
    <w:p w:rsidR="00F01B48" w:rsidRPr="005531A4" w:rsidRDefault="00F01B48" w:rsidP="00F01B48">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xml:space="preserve">- Cơ quan trực tiếp thực hiện TTHC: Văn phòng đăng ký đất đai hoặc Chi nhánh Văn phòng đăng ký đất đai; </w:t>
      </w:r>
      <w:r w:rsidRPr="005531A4">
        <w:rPr>
          <w:rFonts w:ascii="Arial" w:hAnsi="Arial" w:cs="Arial"/>
          <w:bCs/>
          <w:sz w:val="20"/>
          <w:szCs w:val="20"/>
          <w:lang w:val="vi-VN"/>
        </w:rPr>
        <w:t>Chi cục Quản lý đất đai.</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cơ quan Thuế, Kho bạc.</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8. Lệ phí</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Lệ phí địa chính; Phí thẩm định cấp quyền sử dụng đất đối với trường hợp chuyển quyền sở hữu nhà gắn liền với quyền sử dụng đất. Mức thu theo quy định tại Nghị quyết của Hội đồng nhân dân tỉnh.</w:t>
      </w:r>
    </w:p>
    <w:p w:rsidR="00F01B48" w:rsidRPr="005531A4" w:rsidRDefault="00F01B48" w:rsidP="00F01B48">
      <w:pPr>
        <w:spacing w:line="320" w:lineRule="exact"/>
        <w:ind w:firstLine="540"/>
        <w:jc w:val="both"/>
        <w:rPr>
          <w:rFonts w:ascii="Arial" w:hAnsi="Arial" w:cs="Arial"/>
          <w:sz w:val="20"/>
          <w:szCs w:val="20"/>
          <w:lang w:val="vi-VN" w:eastAsia="zh-CN"/>
        </w:rPr>
      </w:pPr>
      <w:r w:rsidRPr="005531A4">
        <w:rPr>
          <w:rFonts w:ascii="Arial" w:hAnsi="Arial" w:cs="Arial"/>
          <w:b/>
          <w:spacing w:val="-6"/>
          <w:sz w:val="20"/>
          <w:szCs w:val="20"/>
          <w:lang w:val="vi-VN"/>
        </w:rPr>
        <w:t xml:space="preserve">9. Tên mẫu đơn, mẫu tờ khai : </w:t>
      </w:r>
      <w:r w:rsidRPr="005531A4">
        <w:rPr>
          <w:rFonts w:ascii="Arial" w:hAnsi="Arial" w:cs="Arial"/>
          <w:sz w:val="20"/>
          <w:szCs w:val="20"/>
          <w:lang w:val="vi-VN"/>
        </w:rPr>
        <w:t>Không</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2. Đất không có tranh chấp.</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3. Quyền sử dụng đất không bị kê biên để bảo đảm thi hành án.</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4. Trong thời hạn sử dụng đất.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5. Ngoài các điều kiện nêu tại các điểm 1, 2, 3 và 4 trên đây, còn phải đủ điều kiện sau:</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a) Điều kiện bán, mua tài sản gắn liền với đất được Nhà nước cho thuê thu tiền thuê đất hàng năm</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Tài sản gắn liền với đất thuê được tạo lập hợp pháp theo quy định của pháp luật;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Đã hoàn thành việc xây dựng theo đúng quy hoạch xây dựng chi tiết và dự án đầu tư đã được phê duyệt, chấp thuận.</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Người mua tài sản gắn liền với đất thuê phải bảo đảm các điều kiện sau đây:</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Có năng lực tài chính để thực hiện dự án đầu tư;</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Có ngành nghề kinh doanh phù hợp với dự án đầu tư;</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Không vi phạm quy định của pháp luật về đất đai đối với trường hợp đã được Nhà nước giao đất, cho thuê đất để thực hiện dự án trước đó.</w:t>
      </w:r>
    </w:p>
    <w:p w:rsidR="00F01B48" w:rsidRPr="005531A4" w:rsidRDefault="00F01B48" w:rsidP="00F01B48">
      <w:pPr>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Người mua tài sản được Nhà nước tiếp tục cho thuê đất trong thời hạn sử dụng đất còn lại theo giá đất cụ thể, sử dụng đất đúng mục đích đã được xác định trong dự án.</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b) Điều kiện nhận chuyển nhượng, nhận tặng cho quyền sử dụng đất: </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Hộ gia đình, cá nhân không trực tiếp sản xuất nông nghiệp không được nhận chuyển nhượng, nhận tặng cho quyền sử dụng đất trồng lúa.</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c) Điều kiện hộ gia đình, cá nhân chuyển nhượng, tặng cho quyền sử dụng đất: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Cs/>
          <w:sz w:val="20"/>
          <w:szCs w:val="20"/>
          <w:lang w:val="vi-VN"/>
        </w:rPr>
        <w:t xml:space="preserve">d) </w:t>
      </w:r>
      <w:r w:rsidRPr="005531A4">
        <w:rPr>
          <w:rFonts w:ascii="Arial" w:hAnsi="Arial" w:cs="Arial"/>
          <w:sz w:val="20"/>
          <w:szCs w:val="20"/>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Có văn bản chấp thuận của cơ quan nhà nước có thẩm quyền đối với tổ chức kinh tế nhận chuyển nhượng, nhận góp vốn, thuê quyền sử dụng đất nông nghiệp để thực hiện dự án;</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bCs/>
          <w:sz w:val="20"/>
          <w:szCs w:val="20"/>
          <w:lang w:val="vi-VN"/>
        </w:rPr>
        <w:t>đ) Điều kiện chuyển nhượng quyền sử dụng đất trong thực hiện dự án đầu tư xây dựng kinh doanh nhà ở; dự án đầu tư xây dựng kết cấu hạ tầng để chuyển nhượng hoặc cho thuê.</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lastRenderedPageBreak/>
        <w:t>- Việc chuyển nhượng quyền sử dụng đất trong dự án đầu tư xây dựng kinh doanh nhà ở:</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t>+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w:t>
      </w:r>
    </w:p>
    <w:p w:rsidR="00F01B48" w:rsidRPr="005531A4" w:rsidRDefault="00F01B48" w:rsidP="00F01B48">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1) Phù hợp với kế hoạch sử dụng đất hàng năm của cấp huyện;</w:t>
      </w:r>
    </w:p>
    <w:p w:rsidR="00F01B48" w:rsidRPr="005531A4" w:rsidRDefault="00F01B48" w:rsidP="00F01B48">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2)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rsidR="00F01B48" w:rsidRPr="005531A4" w:rsidRDefault="00F01B48" w:rsidP="00F01B48">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3) Chủ đầu tư phải hoàn thành nghĩa vụ tài chính liên quan đến đất đai của dự án gồm tiền sử dụng đất, tiền thuê đất; thuế, phí, lệ phí liên quan đến đất đai (nếu có);</w:t>
      </w:r>
    </w:p>
    <w:p w:rsidR="00F01B48" w:rsidRPr="005531A4" w:rsidRDefault="00F01B48" w:rsidP="00F01B48">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4)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F01B48" w:rsidRPr="005531A4" w:rsidRDefault="00F01B48" w:rsidP="00F01B48">
      <w:pPr>
        <w:widowControl w:val="0"/>
        <w:tabs>
          <w:tab w:val="left" w:pos="935"/>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rsidR="00F01B48" w:rsidRPr="005531A4" w:rsidRDefault="00F01B48" w:rsidP="00F01B48">
      <w:pPr>
        <w:widowControl w:val="0"/>
        <w:tabs>
          <w:tab w:val="left" w:pos="567"/>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rsidR="00F01B48" w:rsidRPr="005531A4" w:rsidRDefault="00F01B48" w:rsidP="00F01B48">
      <w:pPr>
        <w:spacing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 Có năng lực tài chính để bảo đảm việc sử dụng đất theo tiến độ của dự án đầu tư. Cụ thể: </w:t>
      </w:r>
      <w:r w:rsidRPr="005531A4">
        <w:rPr>
          <w:rFonts w:ascii="Arial" w:hAnsi="Arial" w:cs="Arial"/>
          <w:spacing w:val="-8"/>
          <w:sz w:val="20"/>
          <w:szCs w:val="20"/>
          <w:lang w:val="vi-VN"/>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sidRPr="005531A4">
        <w:rPr>
          <w:rFonts w:ascii="Arial" w:hAnsi="Arial" w:cs="Arial"/>
          <w:sz w:val="20"/>
          <w:szCs w:val="20"/>
          <w:lang w:val="vi-VN"/>
        </w:rPr>
        <w:t>ó khả năng huy động vốn để thực hiện dự án từ các tổ chức tín dụng, chi nhánh ngân hàng nước ngoài và các tổ chức, cá nhân khác.</w:t>
      </w:r>
    </w:p>
    <w:p w:rsidR="00F01B48" w:rsidRPr="005531A4" w:rsidRDefault="00F01B48" w:rsidP="00F01B48">
      <w:pPr>
        <w:spacing w:line="320" w:lineRule="exact"/>
        <w:ind w:firstLine="720"/>
        <w:jc w:val="both"/>
        <w:rPr>
          <w:rFonts w:ascii="Arial" w:hAnsi="Arial" w:cs="Arial"/>
          <w:sz w:val="20"/>
          <w:szCs w:val="20"/>
          <w:lang w:val="vi-VN"/>
        </w:rPr>
      </w:pPr>
      <w:r w:rsidRPr="005531A4">
        <w:rPr>
          <w:rFonts w:ascii="Arial" w:hAnsi="Arial" w:cs="Arial"/>
          <w:sz w:val="20"/>
          <w:szCs w:val="20"/>
          <w:lang w:val="vi-VN"/>
        </w:rPr>
        <w:t>+ Ký quỹ theo quy định của pháp luật về đầu tư;</w:t>
      </w:r>
    </w:p>
    <w:p w:rsidR="00F01B48" w:rsidRPr="005531A4" w:rsidRDefault="00F01B48" w:rsidP="00F01B48">
      <w:pPr>
        <w:spacing w:line="320" w:lineRule="exact"/>
        <w:ind w:firstLine="720"/>
        <w:jc w:val="both"/>
        <w:rPr>
          <w:rFonts w:ascii="Arial" w:hAnsi="Arial" w:cs="Arial"/>
          <w:sz w:val="20"/>
          <w:szCs w:val="20"/>
          <w:lang w:val="vi-VN"/>
        </w:rPr>
      </w:pPr>
      <w:r w:rsidRPr="005531A4">
        <w:rPr>
          <w:rFonts w:ascii="Arial" w:hAnsi="Arial" w:cs="Arial"/>
          <w:sz w:val="20"/>
          <w:szCs w:val="20"/>
          <w:lang w:val="vi-VN"/>
        </w:rPr>
        <w:t>+ Không vi phạm quy định của pháp luật về đất đai đối với trường hợp đang sử dụng đất do Nhà nước giao đất, cho thuê đất để thực hiện dự án đầu tư khác.</w:t>
      </w:r>
    </w:p>
    <w:p w:rsidR="00F01B48" w:rsidRPr="005531A4" w:rsidRDefault="00F01B48" w:rsidP="00F01B48">
      <w:pPr>
        <w:widowControl w:val="0"/>
        <w:spacing w:line="320" w:lineRule="exact"/>
        <w:ind w:firstLine="720"/>
        <w:jc w:val="both"/>
        <w:rPr>
          <w:rFonts w:ascii="Arial" w:hAnsi="Arial" w:cs="Arial"/>
          <w:spacing w:val="-6"/>
          <w:sz w:val="20"/>
          <w:szCs w:val="20"/>
          <w:lang w:val="vi-VN"/>
        </w:rPr>
      </w:pPr>
      <w:r w:rsidRPr="005531A4">
        <w:rPr>
          <w:rFonts w:ascii="Arial" w:hAnsi="Arial" w:cs="Arial"/>
          <w:sz w:val="20"/>
          <w:szCs w:val="20"/>
          <w:lang w:val="vi-VN"/>
        </w:rPr>
        <w:t xml:space="preserve">+ </w:t>
      </w:r>
      <w:r w:rsidRPr="005531A4">
        <w:rPr>
          <w:rFonts w:ascii="Arial" w:hAnsi="Arial" w:cs="Arial"/>
          <w:spacing w:val="-6"/>
          <w:sz w:val="20"/>
          <w:szCs w:val="20"/>
          <w:lang w:val="vi-VN"/>
        </w:rPr>
        <w:t>Dự án sản xuất, kinh doanh không sử dụng vốn từ ngân sách nhà nước.</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F01B48" w:rsidRPr="005531A4" w:rsidRDefault="00F01B48" w:rsidP="00F01B48">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e)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t>g) Tổ chức kinh tế nhận góp vốn bằng quyền sử dụng đất của hộ gia đình, cá nhân, tổ chức kinh tế khác trong các trường hợp sau đây:</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F01B48" w:rsidRPr="005531A4" w:rsidRDefault="00F01B48" w:rsidP="00F01B48">
      <w:pPr>
        <w:spacing w:line="320" w:lineRule="exact"/>
        <w:ind w:firstLine="539"/>
        <w:jc w:val="both"/>
        <w:rPr>
          <w:rFonts w:ascii="Arial" w:hAnsi="Arial" w:cs="Arial"/>
          <w:sz w:val="20"/>
          <w:szCs w:val="20"/>
          <w:lang w:val="vi-VN"/>
        </w:rPr>
      </w:pPr>
      <w:r w:rsidRPr="005531A4">
        <w:rPr>
          <w:rFonts w:ascii="Arial" w:hAnsi="Arial" w:cs="Arial"/>
          <w:sz w:val="20"/>
          <w:szCs w:val="20"/>
          <w:lang w:val="vi-VN"/>
        </w:rPr>
        <w:t>- Đất của hộ gia đình, cá nhân góp vốn mà không phải là đất được Nhà nước cho thuê trả tiền thuê đất hàng năm.</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xml:space="preserve">- Thông tư số 23/2014/TT-BTNMT ngày 19/5/2014 của Bộ Tài nguyên và Môi trường; có hiệu lực từ ngày 05/7/2014. </w:t>
      </w:r>
    </w:p>
    <w:p w:rsidR="00F01B48" w:rsidRPr="005531A4" w:rsidRDefault="00F01B48" w:rsidP="00F01B48">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700856" w:rsidRPr="00F01B48" w:rsidRDefault="00700856">
      <w:pPr>
        <w:rPr>
          <w:rFonts w:ascii="Arial" w:hAnsi="Arial" w:cs="Arial"/>
          <w:sz w:val="20"/>
          <w:szCs w:val="20"/>
          <w:lang w:val="vi-VN"/>
        </w:rPr>
      </w:pPr>
    </w:p>
    <w:sectPr w:rsidR="00700856" w:rsidRPr="00F01B48"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675EE1"/>
    <w:rsid w:val="00700856"/>
    <w:rsid w:val="00717420"/>
    <w:rsid w:val="00B90636"/>
    <w:rsid w:val="00F01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13087</Characters>
  <Application>Microsoft Office Word</Application>
  <DocSecurity>0</DocSecurity>
  <Lines>109</Lines>
  <Paragraphs>30</Paragraphs>
  <ScaleCrop>false</ScaleCrop>
  <Company>Microsoft</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2017-03-10T03:31:00Z</dcterms:modified>
</cp:coreProperties>
</file>