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91" w:rsidRPr="005531A4" w:rsidRDefault="00CB0B91" w:rsidP="00CB0B91">
      <w:pPr>
        <w:spacing w:line="320" w:lineRule="exact"/>
        <w:ind w:firstLine="540"/>
        <w:jc w:val="both"/>
        <w:rPr>
          <w:rFonts w:ascii="Arial" w:eastAsia="Arial" w:hAnsi="Arial" w:cs="Arial"/>
          <w:b/>
          <w:sz w:val="20"/>
          <w:szCs w:val="20"/>
          <w:lang w:val="vi-VN"/>
        </w:rPr>
      </w:pPr>
      <w:r w:rsidRPr="005531A4">
        <w:rPr>
          <w:rFonts w:ascii="Arial" w:eastAsia="Arial" w:hAnsi="Arial" w:cs="Arial"/>
          <w:b/>
          <w:sz w:val="20"/>
          <w:szCs w:val="20"/>
          <w:lang w:val="vi-VN"/>
        </w:rPr>
        <w:t>18. Thủ tục xóa đăng ký cho thuê, cho thuê lại, góp vốn bằng quyền sử dụng đất, quyền sở hữu tài sản gắn liền với đất</w:t>
      </w:r>
    </w:p>
    <w:p w:rsidR="00CB0B91" w:rsidRPr="005531A4" w:rsidRDefault="00CB0B91" w:rsidP="00CB0B91">
      <w:pPr>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 xml:space="preserve"> 1. Trình tự thực hiện</w:t>
      </w:r>
    </w:p>
    <w:p w:rsidR="00CB0B91" w:rsidRPr="005531A4" w:rsidRDefault="00CB0B91" w:rsidP="00CB0B91">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xml:space="preserve">a) </w:t>
      </w:r>
      <w:r w:rsidRPr="005531A4">
        <w:rPr>
          <w:rFonts w:ascii="Arial" w:hAnsi="Arial" w:cs="Arial"/>
          <w:sz w:val="20"/>
          <w:szCs w:val="20"/>
          <w:lang w:val="vi-VN"/>
        </w:rPr>
        <w:t>Một trong các bên hoặc các bên ký hợp đồng thuê, thuê lại, hợp đồng góp vốn quyền sử dụng đất, quyền sở hữu tài sản gắn liền với đất</w:t>
      </w:r>
      <w:r w:rsidRPr="005531A4">
        <w:rPr>
          <w:rFonts w:ascii="Arial" w:hAnsi="Arial" w:cs="Arial"/>
          <w:spacing w:val="-2"/>
          <w:sz w:val="20"/>
          <w:szCs w:val="20"/>
          <w:lang w:val="vi-VN"/>
        </w:rPr>
        <w:t xml:space="preserve"> nộp hồ sơ tại Văn phòng đăng ký đất đai hoặc Văn phòng đăng ký đất đai chi nhánh tại cấp huyện, thông qua “Bộ phận tiếp nhận và trả kết quả” nơi nộp hồ sơ.</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CB0B91" w:rsidRPr="005531A4" w:rsidRDefault="00CB0B91" w:rsidP="00CB0B91">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c) Văn phòng đăng ký đất đai</w:t>
      </w:r>
      <w:r w:rsidRPr="005531A4">
        <w:rPr>
          <w:rFonts w:ascii="Arial" w:hAnsi="Arial" w:cs="Arial"/>
          <w:bCs/>
          <w:sz w:val="20"/>
          <w:szCs w:val="20"/>
          <w:lang w:val="vi-VN"/>
        </w:rPr>
        <w:t xml:space="preserve"> </w:t>
      </w:r>
      <w:r w:rsidRPr="005531A4">
        <w:rPr>
          <w:rFonts w:ascii="Arial" w:hAnsi="Arial" w:cs="Arial"/>
          <w:sz w:val="20"/>
          <w:szCs w:val="20"/>
          <w:lang w:val="vi-VN"/>
        </w:rPr>
        <w:t>có trách nhiệm kiểm tra hồ sơ, nếu phù hợp quy định của pháp luật thì thực hiện các công việc sau:</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Xác nhận việc xóa cho thuê, cho thuê lại, xóa góp vốn vào Giấy chứng nhận và trao cho bên cho thuê, cho thuê lại, bên góp vốn. Trường hợp cho thuê, cho thuê lại đất trong khu công nghiệp và trường hợp góp vốn quyền sử dụng đất mà đã cấp Giấy chứng nhận cho bên thuê, thuê lại đất, bên nhận góp vốn thì thu hồi Giấy chứng nhận đã cấp; bên nhận góp vốn được cấp lại Giấy chứng nhận quyền sử dụng đất, quyền sở hữu nhà ở và tài sản khác gắn liền với đất.</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thời hạn sử dụng đất kết thúc cùng với thời điểm xóa cho thuê, cho thuê lại đất, xóa góp vốn bằng quyền sử dụng đất mà người sử dụng đất không có nhu cầu tiếp tục sử dụng đất hoặc không được cơ quan nhà nước có thẩm quyền gia hạn sử dụng đất thì thu hồi Giấy chứng nhận đã cấp.</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Thực hiện việc xóa đăng ký cho thuê, cho thuê lại, xóa góp vốn vào hồ sơ địa chính, cơ sở dữ liệu đất đai.</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Chuyển kết quả giải quyết về “Bộ phận một cửa” để trao Giấy chứng nhận cho người đăng ký hoặc gửi Ủy ban nhân dân cấp xã để trao đối với trường hợp nộp hồ sơ tại cấp xã.</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2. Cách thức thực hiện</w:t>
      </w:r>
    </w:p>
    <w:p w:rsidR="00CB0B91" w:rsidRPr="005531A4" w:rsidRDefault="00CB0B91" w:rsidP="00CB0B91">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CB0B91" w:rsidRPr="005531A4" w:rsidRDefault="00CB0B91" w:rsidP="00CB0B91">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a) Thành phần hồ sơ bao gồm:</w:t>
      </w:r>
    </w:p>
    <w:p w:rsidR="00CB0B91" w:rsidRPr="005531A4" w:rsidRDefault="00CB0B91" w:rsidP="00CB0B91">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Văn bản thanh lý hợp đồng cho thuê, cho thuê lại, góp vốn bằng quyền sử dụng đất, tài sản gắn liền với đất hoặc hợp đồng cho thuê, cho thuê lại, góp vốn bằng quyền sử dụng đất, tài sản gắn liền với đất có xác nhận đã được thanh lý hợp đồng.</w:t>
      </w:r>
    </w:p>
    <w:p w:rsidR="00CB0B91" w:rsidRPr="005531A4" w:rsidRDefault="00CB0B91" w:rsidP="00CB0B91">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 đối với trường hợp cho thuê, cho thuê lại quyền sử dụng đất của chủ đầu tư xây dựng hạ tầng trong khu công nghiệp, cụm công nghiệp, khu chế xuất, khu công nghệ cao, khu kinh tế và trường hợp</w:t>
      </w:r>
      <w:r w:rsidRPr="005531A4">
        <w:rPr>
          <w:rFonts w:ascii="Arial" w:hAnsi="Arial" w:cs="Arial"/>
          <w:sz w:val="20"/>
          <w:szCs w:val="20"/>
          <w:lang w:val="vi-VN"/>
        </w:rPr>
        <w:t xml:space="preserve"> góp vốn bằng quyền sử dụng đất, quyền sở hữu tài sản gắn liền với đất.</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Trong thời hạn không quá 05 ngày làm việc  đối với trường hợp xóa đăng ký góp vốn bằng quyền sử dụng đất, quyền sở hữu tài sản gắn liền với đất; không quá 03 ngày làm việc đối với trường hợp đăng ký, xóa đăng ký cho thuê, cho thuê lại quyền sử dụng đất.</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w:t>
      </w:r>
    </w:p>
    <w:p w:rsidR="00CB0B91" w:rsidRPr="005531A4" w:rsidRDefault="00CB0B91" w:rsidP="00CB0B91">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CB0B91" w:rsidRPr="005531A4" w:rsidRDefault="00CB0B91" w:rsidP="00CB0B91">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người Việt Nam định cư ở nước ngoài, doanh nghiệp có vốn đầu tư nước ngoài thực hiện dự án đầu tư.</w:t>
      </w:r>
    </w:p>
    <w:p w:rsidR="00CB0B91" w:rsidRPr="005531A4" w:rsidRDefault="00CB0B91" w:rsidP="00CB0B91">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lastRenderedPageBreak/>
        <w:t>- H</w:t>
      </w:r>
      <w:r w:rsidRPr="005531A4">
        <w:rPr>
          <w:rFonts w:ascii="Arial" w:eastAsia="Arial" w:hAnsi="Arial" w:cs="Arial"/>
          <w:sz w:val="20"/>
          <w:szCs w:val="20"/>
          <w:lang w:val="vi-VN"/>
        </w:rPr>
        <w:t>ộ gia đình, cá nhân, người Việt Nam định cư ở nước ngoài được sở hữu nhà ở gắn liền với quyền sử dụng đất ở tại Việt Nam.</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CB0B91" w:rsidRPr="005531A4" w:rsidRDefault="00CB0B91" w:rsidP="00CB0B91">
      <w:pPr>
        <w:spacing w:line="320" w:lineRule="exact"/>
        <w:ind w:firstLine="540"/>
        <w:jc w:val="both"/>
        <w:rPr>
          <w:rFonts w:ascii="Arial" w:hAnsi="Arial" w:cs="Arial"/>
          <w:spacing w:val="-2"/>
          <w:sz w:val="20"/>
          <w:szCs w:val="20"/>
          <w:lang w:val="vi-VN"/>
        </w:rPr>
      </w:pPr>
      <w:r w:rsidRPr="005531A4">
        <w:rPr>
          <w:rFonts w:ascii="Arial" w:hAnsi="Arial" w:cs="Arial"/>
          <w:sz w:val="20"/>
          <w:szCs w:val="20"/>
          <w:lang w:val="vi-VN"/>
        </w:rPr>
        <w:t xml:space="preserve">- Cơ quan có thẩm quyền quyết định: </w:t>
      </w:r>
      <w:r w:rsidRPr="005531A4">
        <w:rPr>
          <w:rFonts w:ascii="Arial" w:hAnsi="Arial" w:cs="Arial"/>
          <w:spacing w:val="-2"/>
          <w:sz w:val="20"/>
          <w:szCs w:val="20"/>
          <w:lang w:val="vi-VN"/>
        </w:rPr>
        <w:t>Văn phòng đăng ký đất đai hoặc Chi nhánh Văn phòng đăng ký đất đai.</w:t>
      </w:r>
    </w:p>
    <w:p w:rsidR="00CB0B91" w:rsidRPr="005531A4" w:rsidRDefault="00CB0B91" w:rsidP="00CB0B91">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Phòng Tài nguyên và Môi trường, Sở Tài nguyên và Môi trường, Ủy ban nhân dân cấp xã.</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 7. Kết quả thực hiện thủ tục hành chính</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 xml:space="preserve"> 8. Lệ phí</w:t>
      </w:r>
      <w:r w:rsidRPr="005531A4">
        <w:rPr>
          <w:rFonts w:ascii="Arial" w:hAnsi="Arial" w:cs="Arial"/>
          <w:sz w:val="20"/>
          <w:szCs w:val="20"/>
          <w:lang w:val="vi-VN"/>
        </w:rPr>
        <w:t xml:space="preserve"> </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Lệ phí địa chính:Mức thu quy định tại Nghị quyết của Hội đồng nhân dân tỉnh.</w:t>
      </w:r>
    </w:p>
    <w:p w:rsidR="00CB0B91" w:rsidRPr="005531A4" w:rsidRDefault="00CB0B91" w:rsidP="00CB0B91">
      <w:pPr>
        <w:spacing w:line="320" w:lineRule="exact"/>
        <w:ind w:firstLine="540"/>
        <w:jc w:val="both"/>
        <w:rPr>
          <w:rFonts w:ascii="Arial" w:hAnsi="Arial" w:cs="Arial"/>
          <w:sz w:val="20"/>
          <w:szCs w:val="20"/>
          <w:lang w:val="vi-VN" w:eastAsia="zh-CN"/>
        </w:rPr>
      </w:pPr>
      <w:r w:rsidRPr="005531A4">
        <w:rPr>
          <w:rFonts w:ascii="Arial" w:hAnsi="Arial" w:cs="Arial"/>
          <w:b/>
          <w:spacing w:val="-6"/>
          <w:sz w:val="20"/>
          <w:szCs w:val="20"/>
          <w:lang w:val="vi-VN"/>
        </w:rPr>
        <w:t xml:space="preserve">9. Tên mẫu đơn, mẫu tờ khai : </w:t>
      </w:r>
      <w:r w:rsidRPr="005531A4">
        <w:rPr>
          <w:rFonts w:ascii="Arial" w:hAnsi="Arial" w:cs="Arial"/>
          <w:sz w:val="20"/>
          <w:szCs w:val="20"/>
          <w:lang w:val="vi-VN"/>
        </w:rPr>
        <w:t>Không</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w:t>
      </w:r>
      <w:r w:rsidRPr="005531A4">
        <w:rPr>
          <w:rFonts w:ascii="Arial" w:hAnsi="Arial" w:cs="Arial"/>
          <w:sz w:val="20"/>
          <w:szCs w:val="20"/>
          <w:lang w:val="vi-VN"/>
        </w:rPr>
        <w:t xml:space="preserve"> </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Việc góp vốn bằng quyền sử dụng đất chấm dứt trong các trường hợp sau đây:</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Hết thời hạn góp vốn bằng quyền sử dụng đất;</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Một bên hoặc các bên đề nghị theo thoả thuận trong hợp đồng góp vốn;</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Bị thu hồi đất theo quy định của Luật Đất đai; </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Bên góp vốn bằng quyền sử dụng đất trong hợp đồng hợp tác kinh doanh hoặc doanh nghiệp liên doanh bị tuyên bố phá sản, giải thể;</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Cá nhân tham gia hợp đồng góp vốn chết; bị tuyên bố là đã chết; bị mất hoặc hạn chế năng lực hành vi dân sự; bị cấm hoạt động trong lĩnh vực hợp tác kinh doanh mà hợp đồng góp vốn phải do cá nhân đó thực hiện;</w:t>
      </w:r>
    </w:p>
    <w:p w:rsidR="00CB0B91" w:rsidRPr="005531A4" w:rsidRDefault="00CB0B91" w:rsidP="00CB0B9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Pháp nhân tham gia hợp đồng góp vốn bị chấm dứt hoạt động mà hợp đồng góp vốn phải do pháp nhân đó thực hiện. </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11. Căn cứ pháp lý của thủ tục hành chính</w:t>
      </w:r>
      <w:r w:rsidRPr="005531A4">
        <w:rPr>
          <w:rFonts w:ascii="Arial" w:hAnsi="Arial" w:cs="Arial"/>
          <w:sz w:val="20"/>
          <w:szCs w:val="20"/>
          <w:lang w:val="vi-VN"/>
        </w:rPr>
        <w:t>:</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CB0B91" w:rsidRPr="005531A4" w:rsidRDefault="00CB0B91" w:rsidP="00CB0B9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700856" w:rsidRPr="00CB0B91" w:rsidRDefault="00700856">
      <w:pPr>
        <w:rPr>
          <w:rFonts w:ascii="Arial" w:hAnsi="Arial" w:cs="Arial"/>
          <w:sz w:val="20"/>
          <w:szCs w:val="20"/>
          <w:lang w:val="vi-VN"/>
        </w:rPr>
      </w:pPr>
    </w:p>
    <w:sectPr w:rsidR="00700856" w:rsidRPr="00CB0B91"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700856"/>
    <w:rsid w:val="00717420"/>
    <w:rsid w:val="00B90636"/>
    <w:rsid w:val="00CB0B91"/>
    <w:rsid w:val="00FA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4704</Characters>
  <Application>Microsoft Office Word</Application>
  <DocSecurity>0</DocSecurity>
  <Lines>39</Lines>
  <Paragraphs>11</Paragraphs>
  <ScaleCrop>false</ScaleCrop>
  <Company>Microsoft</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2017-03-10T03:31:00Z</dcterms:modified>
</cp:coreProperties>
</file>